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Уведомления о разработке предлагаемого правового регулирования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Настоящим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управление потребительского рынка и развития предпринимательства администрации города Новокузнецка </w:t>
      </w:r>
      <w:r>
        <w:rPr>
          <w:rFonts w:cs="Times New Roman" w:ascii="Times New Roman" w:hAnsi="Times New Roman"/>
          <w:sz w:val="28"/>
          <w:szCs w:val="28"/>
        </w:rPr>
        <w:t>извещает о  начале  обсуждения  идеи  (концепции)  предлагаемого правового регулирования и сборе предложений заинтересованных лиц.</w:t>
      </w:r>
    </w:p>
    <w:p>
      <w:pPr>
        <w:pStyle w:val="Normal"/>
        <w:spacing w:lineRule="auto" w:line="240" w:before="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Предложения принимаются по адресу: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654080, г. Новокузнецк, ул. Кирова, 71, каб. 340, тел. 8(3843)32-17-40</w:t>
      </w:r>
      <w:r>
        <w:rPr>
          <w:rFonts w:cs="Times New Roman" w:ascii="Times New Roman" w:hAnsi="Times New Roman"/>
          <w:sz w:val="28"/>
          <w:szCs w:val="28"/>
        </w:rPr>
        <w:t>, а также по адресу электронной почты: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upr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_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torg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@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admnkz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info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 xml:space="preserve">Сроки приема предложений: </w:t>
      </w:r>
      <w:r>
        <w:rPr>
          <w:rFonts w:cs="Times New Roman" w:ascii="Times New Roman" w:hAnsi="Times New Roman"/>
          <w:sz w:val="28"/>
          <w:szCs w:val="28"/>
        </w:rPr>
        <w:t>16.10.2026 — 06.11.2026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39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Место  размещения уведомления в информационно-телекоммуникационной сети Интернет: на официальном сайте администрации города Новокузнецка в информационно-телекоммуникационной сети Интернет (www.admnkz.info) в подразделе «Оценка регулирующего воздействия» раздела «Документы».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Все поступившие предложения будут рассмотрены.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283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Сводка предложений будет размещена на сайте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www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admnkz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info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не позднее </w:t>
      </w:r>
      <w:r>
        <w:rPr>
          <w:rFonts w:cs="Times New Roman" w:ascii="Times New Roman" w:hAnsi="Times New Roman"/>
          <w:sz w:val="28"/>
          <w:szCs w:val="28"/>
        </w:rPr>
        <w:t>13</w:t>
      </w:r>
      <w:r>
        <w:rPr>
          <w:rFonts w:cs="Times New Roman" w:ascii="Times New Roman" w:hAnsi="Times New Roman"/>
          <w:sz w:val="28"/>
          <w:szCs w:val="28"/>
        </w:rPr>
        <w:t>.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.2026.</w:t>
      </w:r>
    </w:p>
    <w:p>
      <w:pPr>
        <w:pStyle w:val="Normal"/>
        <w:spacing w:lineRule="auto" w:line="240" w:before="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Описание   проблемы,  на  решение  которой  направлено  предлагаемое правовое регулирование: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приведение нормативного правового акта к фактическому состоянию.</w:t>
      </w:r>
    </w:p>
    <w:p>
      <w:pPr>
        <w:pStyle w:val="Normal"/>
        <w:spacing w:lineRule="auto" w:line="240" w:before="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 Цели предлагаемого правового регулирования: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актуализация схемы размещения нестационарных торговых объектов.</w:t>
      </w:r>
    </w:p>
    <w:p>
      <w:pPr>
        <w:pStyle w:val="Normal"/>
        <w:spacing w:lineRule="auto" w:line="240" w:before="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Ожидаемый   результат (выраженный   установленными   разработчиком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показателями) предлагаемого правового регулирования: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приведение в соответствие с требованиями действующего законодательства Российской Федерации.</w:t>
      </w:r>
    </w:p>
    <w:p>
      <w:pPr>
        <w:pStyle w:val="Normal"/>
        <w:spacing w:lineRule="auto" w:line="240" w:before="0"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Действующие нормативные правовые акты, поручения, другие решения, из которых   вытекает   необходимость   разработки   предлагаемого   правового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регулирования в данной области: </w:t>
      </w:r>
    </w:p>
    <w:p>
      <w:pPr>
        <w:pStyle w:val="Normal"/>
        <w:widowControl w:val="false"/>
        <w:spacing w:lineRule="auto" w:line="240" w:before="0" w:after="0"/>
        <w:ind w:firstLine="28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Федеральный закон от 06.10.2003 №131-ФЗ «Об общих принципах организации местного самоуправления в Российской Федерации»;</w:t>
      </w:r>
    </w:p>
    <w:p>
      <w:pPr>
        <w:pStyle w:val="Normal"/>
        <w:widowControl w:val="false"/>
        <w:spacing w:lineRule="auto" w:line="240" w:before="0" w:after="0"/>
        <w:ind w:firstLine="28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Федеральный закон от 28.12.2009 №381-ФЗ «Об основах государственного регулирования торговой деятельности в Российской Федерации»;</w:t>
      </w:r>
    </w:p>
    <w:p>
      <w:pPr>
        <w:pStyle w:val="Normal"/>
        <w:widowControl w:val="false"/>
        <w:spacing w:lineRule="auto" w:line="240" w:before="0" w:after="0"/>
        <w:ind w:firstLine="28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Закон Кемеровской области - Кузбасса от 12.12.2022 №139-ОЗ «О регулировании отдельных вопросов в сфере торговой деятельности»;</w:t>
      </w:r>
    </w:p>
    <w:p>
      <w:pPr>
        <w:pStyle w:val="Normal"/>
        <w:widowControl w:val="false"/>
        <w:spacing w:lineRule="auto" w:line="240" w:before="0" w:after="0"/>
        <w:ind w:firstLine="28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Постановление Коллегии Администрации Кемеровской области от 30.11.2010 №530 «Об установлении порядка разработки и утверждения схемы размещения нестационарных торговых объектов органом местного самоуправления, определенным в соответствии с уставом соответствующего муниципального образования, а также порядка размещения нестационарных торговых объектов на землях или земельных участках, находящихся в государственной или муниципальной собственности, государственная собственность на которые не разграничена на территории Кемеровской области - Кузбасса, без предоставления земельных участков и установления сервитута, публичного сервитута»;</w:t>
      </w:r>
    </w:p>
    <w:p>
      <w:pPr>
        <w:pStyle w:val="Normal"/>
        <w:widowControl w:val="false"/>
        <w:spacing w:lineRule="auto" w:line="240" w:before="0" w:after="0"/>
        <w:ind w:firstLine="284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Постановление администрации г. Новокузнецка от 13.02.2017 №14 «Об организации работы по разработке и утверждению схемы размещения нестационарных торговых объектов на территории Новокузнецкого городского округа».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5. Планируемый   срок   вступления   в   силу  предлагаемого  правового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регулирования: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sz w:val="28"/>
          <w:szCs w:val="28"/>
          <w:u w:val="single"/>
        </w:rPr>
        <w:t>11.12</w:t>
      </w:r>
      <w:r>
        <w:rPr>
          <w:rFonts w:cs="Times New Roman" w:ascii="Times New Roman" w:hAnsi="Times New Roman"/>
          <w:sz w:val="28"/>
          <w:szCs w:val="28"/>
          <w:u w:val="single"/>
        </w:rPr>
        <w:t>.2026</w:t>
      </w:r>
      <w:r>
        <w:rPr>
          <w:rFonts w:cs="Times New Roman" w:ascii="Times New Roman" w:hAnsi="Times New Roman"/>
          <w:sz w:val="28"/>
          <w:szCs w:val="28"/>
        </w:rPr>
        <w:t>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</w:t>
      </w:r>
      <w:r>
        <w:rPr>
          <w:rFonts w:cs="Times New Roman" w:ascii="Times New Roman" w:hAnsi="Times New Roman"/>
          <w:sz w:val="28"/>
          <w:szCs w:val="28"/>
        </w:rPr>
        <w:t>(место для текстового описания)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6. Сведения  о  необходимости или отсутствии необходимости установления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переходного периода: </w:t>
      </w:r>
      <w:r>
        <w:rPr>
          <w:rFonts w:cs="Times New Roman" w:ascii="Times New Roman" w:hAnsi="Times New Roman"/>
          <w:sz w:val="28"/>
          <w:szCs w:val="28"/>
          <w:u w:val="single"/>
        </w:rPr>
        <w:t>отсутствуют          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</w:t>
      </w:r>
      <w:r>
        <w:rPr>
          <w:rFonts w:cs="Times New Roman" w:ascii="Times New Roman" w:hAnsi="Times New Roman"/>
          <w:sz w:val="28"/>
          <w:szCs w:val="28"/>
        </w:rPr>
        <w:t>(место для текстового описания)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7. Иная   информация  по  решению  органа-разработчика,  относящаяся  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сведениям   о   подготовке   идеи   (концепции)   предлагаемого   правового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регулирования: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 отсутствует                </w:t>
      </w:r>
      <w:r>
        <w:rPr>
          <w:rFonts w:cs="Times New Roman" w:ascii="Times New Roman" w:hAnsi="Times New Roman"/>
          <w:sz w:val="28"/>
          <w:szCs w:val="28"/>
        </w:rPr>
        <w:t>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</w:t>
      </w:r>
      <w:r>
        <w:rPr>
          <w:rFonts w:cs="Times New Roman" w:ascii="Times New Roman" w:hAnsi="Times New Roman"/>
          <w:sz w:val="28"/>
          <w:szCs w:val="28"/>
        </w:rPr>
        <w:t>(место для текстового описания)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К уведомлению прилагаются:</w:t>
      </w:r>
    </w:p>
    <w:tbl>
      <w:tblPr>
        <w:tblW w:w="7366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53"/>
        <w:gridCol w:w="6205"/>
        <w:gridCol w:w="708"/>
      </w:tblGrid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Перечень вопросов для участников публичных консультаций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Иные материалы, которые, по мнению разработчика, позволяют оценить необходимость введения предлагаемого правового регулирования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w="11906" w:h="16838"/>
      <w:pgMar w:left="1701" w:right="845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ec5f98"/>
    <w:rPr>
      <w:color w:themeColor="hyperlink" w:val="0563C1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9d279b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9d279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dmnkz.info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Application>LibreOffice/24.8.4.2$Linux_X86_64 LibreOffice_project/480$Build-2</Application>
  <AppVersion>15.0000</AppVersion>
  <Pages>2</Pages>
  <Words>383</Words>
  <Characters>3582</Characters>
  <CharactersWithSpaces>4103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2025-07-30T02:44:00Z</dcterms:created>
  <dc:creator>User</dc:creator>
  <dc:description/>
  <dc:language>ru-RU</dc:language>
  <cp:lastModifiedBy/>
  <cp:lastPrinted>2026-10-15T16:46:51Z</cp:lastPrinted>
  <dcterms:modified xsi:type="dcterms:W3CDTF">2026-10-15T16:47:35Z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